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2691" w14:textId="3740BEE9" w:rsidR="008C1F90" w:rsidRPr="0064458F" w:rsidRDefault="008C1F90" w:rsidP="008C1F90">
      <w:pPr>
        <w:spacing w:after="0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7CDDB51" wp14:editId="25878907">
            <wp:simplePos x="0" y="0"/>
            <wp:positionH relativeFrom="column">
              <wp:posOffset>-408305</wp:posOffset>
            </wp:positionH>
            <wp:positionV relativeFrom="paragraph">
              <wp:posOffset>0</wp:posOffset>
            </wp:positionV>
            <wp:extent cx="2523490" cy="1570355"/>
            <wp:effectExtent l="0" t="0" r="0" b="0"/>
            <wp:wrapTight wrapText="bothSides">
              <wp:wrapPolygon edited="0">
                <wp:start x="0" y="0"/>
                <wp:lineTo x="0" y="21224"/>
                <wp:lineTo x="21361" y="21224"/>
                <wp:lineTo x="2136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14" b="10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570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E55A0" w14:textId="77777777" w:rsidR="008C1F90" w:rsidRDefault="008C1F90" w:rsidP="008C1F90">
      <w:pPr>
        <w:spacing w:after="0"/>
      </w:pPr>
    </w:p>
    <w:p w14:paraId="79C7C9DE" w14:textId="77777777" w:rsidR="008C1F90" w:rsidRDefault="008C1F90" w:rsidP="008C1F90">
      <w:pPr>
        <w:spacing w:after="0"/>
      </w:pPr>
    </w:p>
    <w:p w14:paraId="00983579" w14:textId="77777777" w:rsidR="008C1F90" w:rsidRDefault="008C1F90" w:rsidP="008C1F90">
      <w:pPr>
        <w:spacing w:after="0"/>
      </w:pPr>
    </w:p>
    <w:p w14:paraId="6A48251E" w14:textId="77777777" w:rsidR="008C1F90" w:rsidRDefault="008C1F90" w:rsidP="008C1F90">
      <w:pPr>
        <w:spacing w:after="0"/>
      </w:pPr>
    </w:p>
    <w:p w14:paraId="6CC4D8A6" w14:textId="77777777" w:rsidR="008C1F90" w:rsidRDefault="008C1F90" w:rsidP="008C1F90">
      <w:pPr>
        <w:spacing w:after="0"/>
      </w:pPr>
    </w:p>
    <w:p w14:paraId="56B83B0F" w14:textId="77777777" w:rsidR="008C1F90" w:rsidRDefault="008C1F90" w:rsidP="008C1F90">
      <w:pPr>
        <w:spacing w:after="0"/>
      </w:pPr>
    </w:p>
    <w:p w14:paraId="74BE97DF" w14:textId="77777777" w:rsidR="008C1F90" w:rsidRDefault="008C1F90" w:rsidP="008C1F90">
      <w:pPr>
        <w:spacing w:after="0"/>
      </w:pPr>
    </w:p>
    <w:p w14:paraId="4ED535A8" w14:textId="77777777" w:rsidR="008C1F90" w:rsidRDefault="008C1F90" w:rsidP="008C1F90">
      <w:pPr>
        <w:spacing w:after="0"/>
      </w:pPr>
    </w:p>
    <w:p w14:paraId="64783A62" w14:textId="77777777" w:rsidR="008C1F90" w:rsidRDefault="008C1F90" w:rsidP="008C1F90">
      <w:pPr>
        <w:spacing w:before="113"/>
        <w:jc w:val="center"/>
        <w:rPr>
          <w:rFonts w:ascii="Arial" w:hAnsi="Arial" w:cs="Arial"/>
          <w:b/>
          <w:bCs/>
          <w:sz w:val="32"/>
          <w:szCs w:val="36"/>
        </w:rPr>
      </w:pPr>
      <w:r>
        <w:rPr>
          <w:rFonts w:ascii="Arial" w:hAnsi="Arial" w:cs="Arial"/>
          <w:b/>
          <w:bCs/>
          <w:sz w:val="32"/>
          <w:szCs w:val="36"/>
        </w:rPr>
        <w:t>Compte rendu de réunion</w:t>
      </w:r>
    </w:p>
    <w:p w14:paraId="73649EF6" w14:textId="77777777" w:rsidR="008C1F90" w:rsidRDefault="008C1F90" w:rsidP="008C1F90">
      <w:pPr>
        <w:spacing w:before="113"/>
        <w:jc w:val="center"/>
        <w:rPr>
          <w:rFonts w:ascii="Arial" w:hAnsi="Arial" w:cs="Arial"/>
          <w:b/>
          <w:bCs/>
          <w:sz w:val="32"/>
          <w:szCs w:val="36"/>
        </w:rPr>
      </w:pPr>
      <w:r>
        <w:rPr>
          <w:rFonts w:ascii="Arial" w:hAnsi="Arial" w:cs="Arial"/>
          <w:b/>
          <w:bCs/>
          <w:sz w:val="32"/>
          <w:szCs w:val="36"/>
        </w:rPr>
        <w:t xml:space="preserve">Commission Variabilité Génétique </w:t>
      </w:r>
    </w:p>
    <w:p w14:paraId="763329A4" w14:textId="6E7F3550" w:rsidR="008C1F90" w:rsidRDefault="008C1F90" w:rsidP="008C1F90">
      <w:pPr>
        <w:spacing w:before="113"/>
        <w:jc w:val="center"/>
        <w:rPr>
          <w:rFonts w:ascii="Arial" w:hAnsi="Arial" w:cs="Arial"/>
          <w:b/>
          <w:bCs/>
          <w:sz w:val="32"/>
          <w:szCs w:val="36"/>
        </w:rPr>
      </w:pPr>
      <w:r>
        <w:rPr>
          <w:rFonts w:ascii="Arial" w:hAnsi="Arial" w:cs="Arial"/>
          <w:b/>
          <w:bCs/>
          <w:sz w:val="32"/>
          <w:szCs w:val="36"/>
        </w:rPr>
        <w:t>18 Juillet 2022 (réunion téléphonique – 19h)</w:t>
      </w:r>
    </w:p>
    <w:p w14:paraId="23D17689" w14:textId="77777777" w:rsidR="008C1F90" w:rsidRDefault="008C1F90" w:rsidP="008C1F90">
      <w:pPr>
        <w:rPr>
          <w:b/>
          <w:bCs/>
        </w:rPr>
      </w:pPr>
    </w:p>
    <w:p w14:paraId="35BD2649" w14:textId="563D7948" w:rsidR="008C1F90" w:rsidRDefault="008C1F90" w:rsidP="008C1F90">
      <w:r w:rsidRPr="0064458F">
        <w:rPr>
          <w:b/>
          <w:bCs/>
        </w:rPr>
        <w:t>Présents :</w:t>
      </w:r>
      <w:r>
        <w:t xml:space="preserve"> </w:t>
      </w:r>
      <w:r w:rsidR="00E00790">
        <w:t xml:space="preserve">Coralie Danchin </w:t>
      </w:r>
      <w:proofErr w:type="spellStart"/>
      <w:r w:rsidR="00E00790">
        <w:t>Burge</w:t>
      </w:r>
      <w:proofErr w:type="spellEnd"/>
      <w:r w:rsidR="00E00790">
        <w:t xml:space="preserve"> (Institut de l’Elevage), Christophe </w:t>
      </w:r>
      <w:proofErr w:type="spellStart"/>
      <w:r w:rsidR="00E00790">
        <w:t>Kuster</w:t>
      </w:r>
      <w:proofErr w:type="spellEnd"/>
      <w:r w:rsidR="00E00790">
        <w:t xml:space="preserve">, Marie Mélanie Lay, Estelle Le </w:t>
      </w:r>
      <w:proofErr w:type="spellStart"/>
      <w:r w:rsidR="00E00790">
        <w:t>Quinio</w:t>
      </w:r>
      <w:proofErr w:type="spellEnd"/>
      <w:r w:rsidR="00E00790">
        <w:t xml:space="preserve">, </w:t>
      </w:r>
      <w:r>
        <w:t xml:space="preserve">Philippe Martial ; Fanny Thuault </w:t>
      </w:r>
    </w:p>
    <w:p w14:paraId="3472810F" w14:textId="00695658" w:rsidR="008C1F90" w:rsidRDefault="008C1F90" w:rsidP="008C1F90">
      <w:r w:rsidRPr="0064458F">
        <w:rPr>
          <w:b/>
          <w:bCs/>
        </w:rPr>
        <w:t>Excusés :</w:t>
      </w:r>
      <w:r>
        <w:t xml:space="preserve"> Abdulmalik Kaba ;</w:t>
      </w:r>
      <w:r w:rsidRPr="00AD7854">
        <w:t xml:space="preserve"> </w:t>
      </w:r>
      <w:r w:rsidR="00430F3E">
        <w:t>Julien Boucher </w:t>
      </w:r>
    </w:p>
    <w:p w14:paraId="33FA2C59" w14:textId="7C4E28A2" w:rsidR="002F1816" w:rsidRDefault="002F1816"/>
    <w:p w14:paraId="5D79C8E9" w14:textId="353955CD" w:rsidR="00430F3E" w:rsidRPr="00FE468F" w:rsidRDefault="00430F3E">
      <w:pPr>
        <w:rPr>
          <w:i/>
          <w:iCs/>
        </w:rPr>
      </w:pPr>
      <w:r w:rsidRPr="00FE468F">
        <w:rPr>
          <w:i/>
          <w:iCs/>
        </w:rPr>
        <w:t>Petit tour de table</w:t>
      </w:r>
      <w:r w:rsidR="00E00790" w:rsidRPr="00FE468F">
        <w:rPr>
          <w:i/>
          <w:iCs/>
        </w:rPr>
        <w:t xml:space="preserve"> sur le thème de la canicule et de l’adaptation des horaires des</w:t>
      </w:r>
      <w:r w:rsidRPr="00FE468F">
        <w:rPr>
          <w:i/>
          <w:iCs/>
        </w:rPr>
        <w:t xml:space="preserve"> bêtes avec la chaleur (décalage des sorties)</w:t>
      </w:r>
    </w:p>
    <w:p w14:paraId="54AD7DB8" w14:textId="1EBCD862" w:rsidR="007151FF" w:rsidRDefault="007151FF"/>
    <w:p w14:paraId="4DC5E797" w14:textId="75869BAF" w:rsidR="007151FF" w:rsidRPr="00243F75" w:rsidRDefault="007151FF">
      <w:pPr>
        <w:rPr>
          <w:b/>
          <w:bCs/>
        </w:rPr>
      </w:pPr>
      <w:r w:rsidRPr="00243F75">
        <w:rPr>
          <w:b/>
          <w:bCs/>
        </w:rPr>
        <w:t xml:space="preserve">Présentation de Coralie Danchin </w:t>
      </w:r>
      <w:r w:rsidR="008E47B0">
        <w:rPr>
          <w:b/>
          <w:bCs/>
        </w:rPr>
        <w:t>(données génomiques issus des génotypages sur un échantillon de la population de chèvres des Pyrénées)</w:t>
      </w:r>
      <w:r w:rsidR="00FE468F">
        <w:rPr>
          <w:b/>
          <w:bCs/>
        </w:rPr>
        <w:t xml:space="preserve"> </w:t>
      </w:r>
      <w:proofErr w:type="spellStart"/>
      <w:r w:rsidR="00FE468F">
        <w:rPr>
          <w:b/>
          <w:bCs/>
        </w:rPr>
        <w:t>cf</w:t>
      </w:r>
      <w:proofErr w:type="spellEnd"/>
      <w:r w:rsidR="00FE468F">
        <w:rPr>
          <w:b/>
          <w:bCs/>
        </w:rPr>
        <w:t xml:space="preserve"> diapos 2022_C_Danchin_HistoirePYR.pdf</w:t>
      </w:r>
    </w:p>
    <w:p w14:paraId="5474D5D2" w14:textId="0E305D8A" w:rsidR="00C5335A" w:rsidRDefault="00E00790">
      <w:r>
        <w:t xml:space="preserve">Génotypages : </w:t>
      </w:r>
      <w:r w:rsidR="008E47B0">
        <w:t xml:space="preserve">79 </w:t>
      </w:r>
      <w:r w:rsidR="00C5335A">
        <w:t>animaux ont été prélevés depuis 2000 et stockés</w:t>
      </w:r>
      <w:r>
        <w:t xml:space="preserve"> (dont </w:t>
      </w:r>
      <w:r w:rsidR="008E47B0">
        <w:t xml:space="preserve">un </w:t>
      </w:r>
      <w:r>
        <w:t>certain</w:t>
      </w:r>
      <w:r w:rsidR="008E47B0">
        <w:t xml:space="preserve"> nombre</w:t>
      </w:r>
      <w:r>
        <w:t xml:space="preserve"> proviennent du Conservatoire des races d’Aquitaine)</w:t>
      </w:r>
    </w:p>
    <w:p w14:paraId="5C3F70B2" w14:textId="59266BD4" w:rsidR="0020269E" w:rsidRDefault="00243F75">
      <w:r>
        <w:t xml:space="preserve">En caprin, un </w:t>
      </w:r>
      <w:r w:rsidR="0020269E">
        <w:t>effort a été fait</w:t>
      </w:r>
      <w:r w:rsidR="00962BDA">
        <w:t xml:space="preserve"> pour avoir un outil de génotypage fiable</w:t>
      </w:r>
      <w:r w:rsidR="00E00790">
        <w:t xml:space="preserve">. </w:t>
      </w:r>
      <w:r w:rsidR="0020269E">
        <w:t>Toutes les races métropolitaines ont été génotypées ce qui permet d’avoir un sorte de référentiel pour ancrer les données (il y a aussi des races espagnoles et italienne</w:t>
      </w:r>
      <w:r w:rsidR="00E00790">
        <w:t>s</w:t>
      </w:r>
      <w:r w:rsidR="0020269E">
        <w:t>)</w:t>
      </w:r>
    </w:p>
    <w:p w14:paraId="4668EE13" w14:textId="5267B5BD" w:rsidR="0020269E" w:rsidRDefault="0020269E">
      <w:r>
        <w:t>Le génotypage permet de faire plusieurs analyses :</w:t>
      </w:r>
    </w:p>
    <w:p w14:paraId="16FC89EE" w14:textId="3D6D5E42" w:rsidR="0020269E" w:rsidRDefault="0020269E" w:rsidP="00F66EC5">
      <w:pPr>
        <w:pStyle w:val="Paragraphedeliste"/>
        <w:numPr>
          <w:ilvl w:val="0"/>
          <w:numId w:val="1"/>
        </w:numPr>
      </w:pPr>
      <w:r>
        <w:t>Hétérozygotie</w:t>
      </w:r>
      <w:r w:rsidR="009A7A8C">
        <w:t xml:space="preserve"> (c’est l’inverse de la consanguinité, </w:t>
      </w:r>
      <w:r w:rsidR="00F66EC5">
        <w:t xml:space="preserve">et </w:t>
      </w:r>
      <w:r w:rsidR="009A7A8C">
        <w:t>ça n’a pas forcément de lien avec la taille de la population</w:t>
      </w:r>
      <w:r w:rsidR="00F66EC5">
        <w:t xml:space="preserve">, c’est intéressant car cela permet </w:t>
      </w:r>
      <w:r w:rsidR="00E00790">
        <w:t xml:space="preserve">une </w:t>
      </w:r>
      <w:r w:rsidR="00F66EC5">
        <w:t>adaptation</w:t>
      </w:r>
      <w:r w:rsidR="00E00790">
        <w:t xml:space="preserve"> éventuelle de la population</w:t>
      </w:r>
      <w:r w:rsidR="009A7A8C">
        <w:t>)</w:t>
      </w:r>
      <w:r>
        <w:t xml:space="preserve"> : </w:t>
      </w:r>
      <w:r w:rsidR="00E00790">
        <w:t xml:space="preserve">la </w:t>
      </w:r>
      <w:r>
        <w:t xml:space="preserve">situation </w:t>
      </w:r>
      <w:r w:rsidR="00E00790">
        <w:t xml:space="preserve">est </w:t>
      </w:r>
      <w:r>
        <w:t>intermédiaire pour la pyrénéenne</w:t>
      </w:r>
      <w:r w:rsidR="00E00790">
        <w:t xml:space="preserve"> par rapport à d’autres races</w:t>
      </w:r>
      <w:r>
        <w:t xml:space="preserve"> </w:t>
      </w:r>
    </w:p>
    <w:p w14:paraId="1BADF529" w14:textId="63DC3410" w:rsidR="00962BDA" w:rsidRDefault="00962BDA" w:rsidP="00F66EC5">
      <w:pPr>
        <w:pStyle w:val="Paragraphedeliste"/>
        <w:numPr>
          <w:ilvl w:val="0"/>
          <w:numId w:val="1"/>
        </w:numPr>
      </w:pPr>
      <w:r>
        <w:t>Consanguinité totale de chaque individu sur tout le génome</w:t>
      </w:r>
      <w:r w:rsidR="00E00790">
        <w:t> :</w:t>
      </w:r>
      <w:r>
        <w:t xml:space="preserve"> difficile d’agir dessus</w:t>
      </w:r>
      <w:r w:rsidR="00000432">
        <w:t xml:space="preserve"> bien qu’il soit possible d’éliminer des allèles non souhaités</w:t>
      </w:r>
      <w:r w:rsidR="006B1675">
        <w:t xml:space="preserve"> </w:t>
      </w:r>
      <w:r w:rsidR="00E00790">
        <w:t>(</w:t>
      </w:r>
      <w:r w:rsidR="006B1675">
        <w:t>par sélection naturelle</w:t>
      </w:r>
      <w:r w:rsidR="00E00790">
        <w:t xml:space="preserve"> notammen</w:t>
      </w:r>
      <w:r w:rsidR="008E47B0">
        <w:t>t</w:t>
      </w:r>
      <w:r>
        <w:t>)</w:t>
      </w:r>
    </w:p>
    <w:p w14:paraId="7B37ADB9" w14:textId="2C65DCFB" w:rsidR="00962BDA" w:rsidRDefault="00962BDA" w:rsidP="00F66EC5">
      <w:pPr>
        <w:pStyle w:val="Paragraphedeliste"/>
        <w:numPr>
          <w:ilvl w:val="0"/>
          <w:numId w:val="1"/>
        </w:numPr>
      </w:pPr>
      <w:r>
        <w:t xml:space="preserve">Consanguinité proche : </w:t>
      </w:r>
      <w:r w:rsidR="00000432">
        <w:t>possibilité de jouer dessus en faisant des accouplement</w:t>
      </w:r>
      <w:r w:rsidR="008E47B0">
        <w:t>s qui</w:t>
      </w:r>
      <w:r w:rsidR="00000432">
        <w:t xml:space="preserve"> limit</w:t>
      </w:r>
      <w:r w:rsidR="008E47B0">
        <w:t>e</w:t>
      </w:r>
      <w:r w:rsidR="00000432">
        <w:t>nt l’apparentement des animaux (elle est plus dangereuse que la consanguinité totale</w:t>
      </w:r>
      <w:r w:rsidR="006B1675">
        <w:t xml:space="preserve"> car elle peut faire apparaitre des tares</w:t>
      </w:r>
      <w:r w:rsidR="00000432">
        <w:t>)</w:t>
      </w:r>
      <w:r w:rsidR="006B1675">
        <w:t>. Elle doit être gérée pour l’éviter</w:t>
      </w:r>
    </w:p>
    <w:p w14:paraId="0EAE9001" w14:textId="732CA191" w:rsidR="00DD5E39" w:rsidRDefault="00DD5E39" w:rsidP="00F66EC5">
      <w:pPr>
        <w:pStyle w:val="Paragraphedeliste"/>
        <w:numPr>
          <w:ilvl w:val="0"/>
          <w:numId w:val="1"/>
        </w:numPr>
      </w:pPr>
      <w:r>
        <w:t>Analyses en composantes principales : répartit</w:t>
      </w:r>
      <w:r w:rsidR="008E47B0">
        <w:t>ion</w:t>
      </w:r>
      <w:r>
        <w:t xml:space="preserve"> </w:t>
      </w:r>
      <w:r w:rsidR="008E47B0">
        <w:t>d</w:t>
      </w:r>
      <w:r>
        <w:t>es animaux sur des axes</w:t>
      </w:r>
      <w:r w:rsidR="008E47B0">
        <w:t xml:space="preserve"> significatifs</w:t>
      </w:r>
      <w:r>
        <w:t xml:space="preserve"> </w:t>
      </w:r>
      <w:r w:rsidR="007F16BE">
        <w:t xml:space="preserve">(projection sur un plan correspondant à 2 axes) </w:t>
      </w:r>
      <w:r>
        <w:t xml:space="preserve">– les </w:t>
      </w:r>
      <w:r w:rsidR="007F16BE">
        <w:t xml:space="preserve">points les </w:t>
      </w:r>
      <w:r>
        <w:t xml:space="preserve">plus proches sont apparentés </w:t>
      </w:r>
      <w:r w:rsidR="007F16BE">
        <w:t xml:space="preserve">&gt;&gt; </w:t>
      </w:r>
      <w:r w:rsidR="007F16BE">
        <w:lastRenderedPageBreak/>
        <w:t>cela a permis par exemple de démontrer que les races locales sont bien différenciées génétiquement</w:t>
      </w:r>
      <w:r w:rsidR="008E47B0">
        <w:t xml:space="preserve"> les unes des autres</w:t>
      </w:r>
      <w:r w:rsidR="007F16BE">
        <w:t xml:space="preserve"> (paquets distincts sur un graphe à 2 dimensions)</w:t>
      </w:r>
    </w:p>
    <w:p w14:paraId="73F712C3" w14:textId="06FA30E4" w:rsidR="009010CB" w:rsidRDefault="009010CB" w:rsidP="00F66EC5">
      <w:pPr>
        <w:pStyle w:val="Paragraphedeliste"/>
        <w:numPr>
          <w:ilvl w:val="0"/>
          <w:numId w:val="1"/>
        </w:numPr>
      </w:pPr>
      <w:r>
        <w:t>Arbre phylogénétique : représentation de la différenciation des races au cours de leur histoire génétique</w:t>
      </w:r>
      <w:r w:rsidR="008E47B0">
        <w:t xml:space="preserve"> (forme de râteau typique d’une différenciation relativement récente et simultanée)</w:t>
      </w:r>
    </w:p>
    <w:p w14:paraId="3C5D0C27" w14:textId="2526B245" w:rsidR="001364AB" w:rsidRDefault="008E47B0" w:rsidP="001364AB">
      <w:r>
        <w:t xml:space="preserve">NB : </w:t>
      </w:r>
      <w:r w:rsidR="001364AB">
        <w:t>Parfois le génotypage met en évidence des grosses différences intra races</w:t>
      </w:r>
    </w:p>
    <w:p w14:paraId="73CF3070" w14:textId="70813908" w:rsidR="001364AB" w:rsidRDefault="001364AB" w:rsidP="001364AB"/>
    <w:p w14:paraId="2875CB73" w14:textId="5910264E" w:rsidR="008E47B0" w:rsidRPr="004350D9" w:rsidRDefault="008E47B0" w:rsidP="001364AB">
      <w:pPr>
        <w:rPr>
          <w:b/>
          <w:bCs/>
        </w:rPr>
      </w:pPr>
      <w:r w:rsidRPr="004350D9">
        <w:rPr>
          <w:b/>
          <w:bCs/>
        </w:rPr>
        <w:t>Présentation de Fanny (données généalogiques issues des visites d’inventaires et des déclarations de mises à jour réalisées par les éleveurs)</w:t>
      </w:r>
      <w:r w:rsidR="00FE468F">
        <w:rPr>
          <w:b/>
          <w:bCs/>
        </w:rPr>
        <w:t xml:space="preserve"> </w:t>
      </w:r>
      <w:proofErr w:type="spellStart"/>
      <w:r w:rsidR="00FE468F">
        <w:rPr>
          <w:b/>
          <w:bCs/>
        </w:rPr>
        <w:t>cf</w:t>
      </w:r>
      <w:proofErr w:type="spellEnd"/>
      <w:r w:rsidR="00FE468F">
        <w:rPr>
          <w:b/>
          <w:bCs/>
        </w:rPr>
        <w:t xml:space="preserve"> diapos infos_variabilité_2022.pdf</w:t>
      </w:r>
    </w:p>
    <w:p w14:paraId="07732AA7" w14:textId="707E6B52" w:rsidR="004350D9" w:rsidRDefault="004350D9" w:rsidP="001364AB">
      <w:r>
        <w:t>Informations disponibles dans la base de données pyrénéenne et présentation des indicateurs de bilan génétique : la connaissance des généalogie et la consanguinité augmentent légèrement ce qui est normal. Une attention particulière est portées aux ancêtres majeurs</w:t>
      </w:r>
    </w:p>
    <w:p w14:paraId="3FB035A6" w14:textId="77777777" w:rsidR="004350D9" w:rsidRDefault="00155878" w:rsidP="001364AB">
      <w:r>
        <w:t xml:space="preserve">Originalité génétique : </w:t>
      </w:r>
      <w:r w:rsidR="004350D9">
        <w:t>description de la méthode de calcul</w:t>
      </w:r>
    </w:p>
    <w:p w14:paraId="131E27FA" w14:textId="1A5E24AE" w:rsidR="001364AB" w:rsidRDefault="004350D9" w:rsidP="001364AB">
      <w:r>
        <w:t xml:space="preserve">Il faut bien comprendre que </w:t>
      </w:r>
      <w:r w:rsidR="00155878">
        <w:t xml:space="preserve">l’indicateur est évolutif </w:t>
      </w:r>
      <w:r w:rsidR="008E47B0">
        <w:t xml:space="preserve">(s’il est plébiscité, un reproducteur très original peut diffuser </w:t>
      </w:r>
      <w:r>
        <w:t xml:space="preserve">dans la population en quelques années </w:t>
      </w:r>
      <w:r w:rsidR="008E47B0">
        <w:t>et devenir beaucoup moins original</w:t>
      </w:r>
      <w:r>
        <w:t>) et qu’il est calculé pour des animaux dont on connait suffisamment la généalogie. Cependant, mieux la généalogie est connue, plus cet indicateur est fiable : ces deux critères sont intéressants</w:t>
      </w:r>
    </w:p>
    <w:p w14:paraId="7C4FEBC3" w14:textId="6F2CC5B3" w:rsidR="00155878" w:rsidRDefault="00155878" w:rsidP="001364AB"/>
    <w:p w14:paraId="23A94AFB" w14:textId="02D5D14A" w:rsidR="00D7340C" w:rsidRPr="00D7340C" w:rsidRDefault="00D7340C" w:rsidP="001364AB">
      <w:pPr>
        <w:rPr>
          <w:u w:val="single"/>
        </w:rPr>
      </w:pPr>
      <w:r w:rsidRPr="00D7340C">
        <w:rPr>
          <w:u w:val="single"/>
        </w:rPr>
        <w:t xml:space="preserve">De ces éléments, il est proposé </w:t>
      </w:r>
    </w:p>
    <w:p w14:paraId="2DD753EA" w14:textId="433A6E01" w:rsidR="00D7340C" w:rsidRDefault="00D7340C" w:rsidP="00D7340C">
      <w:pPr>
        <w:pStyle w:val="Paragraphedeliste"/>
        <w:numPr>
          <w:ilvl w:val="0"/>
          <w:numId w:val="2"/>
        </w:numPr>
      </w:pPr>
      <w:r>
        <w:t xml:space="preserve">De mieux analyser les animaux qui ont des notes élevées : vérifier la qualité de la généalogie ou essayer de croiser des infos qualitatives (origines connues) &gt;&gt; utiliser notamment le nom du naisseur ou l’origine des haras de boucs </w:t>
      </w:r>
    </w:p>
    <w:p w14:paraId="38BB0A5B" w14:textId="06A206DA" w:rsidR="00D7340C" w:rsidRDefault="00D7340C" w:rsidP="00D7340C">
      <w:pPr>
        <w:pStyle w:val="Paragraphedeliste"/>
        <w:numPr>
          <w:ilvl w:val="0"/>
          <w:numId w:val="2"/>
        </w:numPr>
      </w:pPr>
      <w:r>
        <w:t>De repérer les boucs qui font des longues carrière / qui saillissent de gros troupeaux (susceptibles de diffuser beaucoup et d’être moins originaux)</w:t>
      </w:r>
    </w:p>
    <w:p w14:paraId="7A89106F" w14:textId="67DF85A8" w:rsidR="00D7340C" w:rsidRDefault="00D7340C" w:rsidP="00D7340C">
      <w:pPr>
        <w:pStyle w:val="Paragraphedeliste"/>
        <w:numPr>
          <w:ilvl w:val="0"/>
          <w:numId w:val="2"/>
        </w:numPr>
      </w:pPr>
      <w:r>
        <w:t>De raisonner en familles (groupes) éventuellement sur les animaux très originaux</w:t>
      </w:r>
    </w:p>
    <w:p w14:paraId="7748682F" w14:textId="1DE2232E" w:rsidR="00D7340C" w:rsidRDefault="00D7340C" w:rsidP="00D7340C">
      <w:pPr>
        <w:pStyle w:val="Paragraphedeliste"/>
        <w:numPr>
          <w:ilvl w:val="0"/>
          <w:numId w:val="2"/>
        </w:numPr>
      </w:pPr>
      <w:r>
        <w:t>D’essayer de situer chaque troupeau par rapport au critère de l’originalité (représentation graphique facile à lire ?)</w:t>
      </w:r>
    </w:p>
    <w:p w14:paraId="2FD1C8A3" w14:textId="44C28416" w:rsidR="00D7340C" w:rsidRDefault="00D7340C" w:rsidP="00D7340C">
      <w:pPr>
        <w:pStyle w:val="Paragraphedeliste"/>
        <w:numPr>
          <w:ilvl w:val="0"/>
          <w:numId w:val="2"/>
        </w:numPr>
      </w:pPr>
      <w:r>
        <w:t xml:space="preserve">De sensibiliser les éleveurs à utiliser des boucs originaux même s’ils ont quelques défauts </w:t>
      </w:r>
    </w:p>
    <w:p w14:paraId="59AE5E63" w14:textId="688E5229" w:rsidR="00D7340C" w:rsidRDefault="00D7340C" w:rsidP="00D7340C">
      <w:pPr>
        <w:pStyle w:val="Paragraphedeliste"/>
        <w:numPr>
          <w:ilvl w:val="0"/>
          <w:numId w:val="2"/>
        </w:numPr>
      </w:pPr>
      <w:r>
        <w:t xml:space="preserve">De s’appuyer sur le </w:t>
      </w:r>
      <w:proofErr w:type="spellStart"/>
      <w:r>
        <w:t>BlablaBouc</w:t>
      </w:r>
      <w:proofErr w:type="spellEnd"/>
      <w:r>
        <w:t xml:space="preserve"> (pouvoir retrouver les fondateurs, les animaux morts….) </w:t>
      </w:r>
    </w:p>
    <w:p w14:paraId="23AAA81F" w14:textId="5022D17F" w:rsidR="00D7340C" w:rsidRPr="00FE468F" w:rsidRDefault="00D7340C" w:rsidP="00D7340C">
      <w:pPr>
        <w:rPr>
          <w:u w:val="single"/>
        </w:rPr>
      </w:pPr>
      <w:r w:rsidRPr="00FE468F">
        <w:rPr>
          <w:u w:val="single"/>
        </w:rPr>
        <w:t>Infos/messages à faire passer dans l’article prévu :</w:t>
      </w:r>
    </w:p>
    <w:p w14:paraId="1E0AEEE8" w14:textId="168878D7" w:rsidR="00D7340C" w:rsidRDefault="00D7340C" w:rsidP="00FE468F">
      <w:pPr>
        <w:pStyle w:val="Paragraphedeliste"/>
        <w:numPr>
          <w:ilvl w:val="0"/>
          <w:numId w:val="3"/>
        </w:numPr>
      </w:pPr>
      <w:r>
        <w:t>Important d’indiquer pourquoi on fait tout ça (grâce aux infos accumulées qu’on peut maintenant valoriser) &gt;&gt; cela permet plus d’efficience dans la gestion de la race</w:t>
      </w:r>
    </w:p>
    <w:p w14:paraId="0C909066" w14:textId="04987948" w:rsidR="00FE468F" w:rsidRDefault="00FE468F" w:rsidP="00FE468F">
      <w:pPr>
        <w:pStyle w:val="Paragraphedeliste"/>
        <w:numPr>
          <w:ilvl w:val="0"/>
          <w:numId w:val="3"/>
        </w:numPr>
      </w:pPr>
      <w:r>
        <w:t>Aborder les deux approches (génomique et généalogique)</w:t>
      </w:r>
    </w:p>
    <w:p w14:paraId="2EF97E90" w14:textId="4E6F50F0" w:rsidR="00D7340C" w:rsidRDefault="00D7340C" w:rsidP="00FE468F">
      <w:pPr>
        <w:pStyle w:val="Paragraphedeliste"/>
        <w:numPr>
          <w:ilvl w:val="0"/>
          <w:numId w:val="3"/>
        </w:numPr>
      </w:pPr>
      <w:r>
        <w:t xml:space="preserve">Originalité : expliquer le concept et mettre le graphique avec les ancêtres majeurs </w:t>
      </w:r>
    </w:p>
    <w:p w14:paraId="43CCC116" w14:textId="0251D960" w:rsidR="00D7340C" w:rsidRDefault="00D7340C" w:rsidP="00FE468F">
      <w:pPr>
        <w:pStyle w:val="Paragraphedeliste"/>
        <w:numPr>
          <w:ilvl w:val="0"/>
          <w:numId w:val="3"/>
        </w:numPr>
      </w:pPr>
      <w:r>
        <w:t>Important de diffuser des messages simples pour favoriser la variabilité génétique</w:t>
      </w:r>
    </w:p>
    <w:p w14:paraId="436ED0D6" w14:textId="75078D02" w:rsidR="00155878" w:rsidRDefault="00155878" w:rsidP="00FE468F">
      <w:pPr>
        <w:pStyle w:val="Paragraphedeliste"/>
        <w:numPr>
          <w:ilvl w:val="0"/>
          <w:numId w:val="3"/>
        </w:numPr>
      </w:pPr>
      <w:r>
        <w:t>Standardisation : il ne faut pas penser que la standardisation est nécessaire au sein d’une race (au niveau génétique ça n’a pas de sens puisque l’homogénéité de standard n’est pas forcément lié</w:t>
      </w:r>
      <w:r w:rsidR="00FE468F">
        <w:t>e à la variabilité génétique</w:t>
      </w:r>
      <w:r w:rsidR="00676C76">
        <w:t>)</w:t>
      </w:r>
    </w:p>
    <w:p w14:paraId="23F0C1B9" w14:textId="77777777" w:rsidR="00185CE1" w:rsidRDefault="00185CE1" w:rsidP="00185CE1"/>
    <w:p w14:paraId="5DDAC479" w14:textId="2503F593" w:rsidR="00185CE1" w:rsidRDefault="00185CE1" w:rsidP="00185CE1">
      <w:r>
        <w:t xml:space="preserve">Suites à donner : </w:t>
      </w:r>
      <w:proofErr w:type="spellStart"/>
      <w:r>
        <w:t>Rendez vous</w:t>
      </w:r>
      <w:proofErr w:type="spellEnd"/>
      <w:r>
        <w:t xml:space="preserve"> dans une quinzaine de jours pour rediscuter de ces éléments sur la base d’une proposition d’article rédigée par Fanny</w:t>
      </w:r>
    </w:p>
    <w:sectPr w:rsidR="00185CE1" w:rsidSect="00FE468F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328B7"/>
    <w:multiLevelType w:val="hybridMultilevel"/>
    <w:tmpl w:val="6B6200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F3BA7"/>
    <w:multiLevelType w:val="hybridMultilevel"/>
    <w:tmpl w:val="59D6F6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80F74"/>
    <w:multiLevelType w:val="hybridMultilevel"/>
    <w:tmpl w:val="ED046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027851">
    <w:abstractNumId w:val="2"/>
  </w:num>
  <w:num w:numId="2" w16cid:durableId="4483770">
    <w:abstractNumId w:val="0"/>
  </w:num>
  <w:num w:numId="3" w16cid:durableId="818765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0"/>
    <w:rsid w:val="00000432"/>
    <w:rsid w:val="001364AB"/>
    <w:rsid w:val="00155878"/>
    <w:rsid w:val="0018558D"/>
    <w:rsid w:val="00185CE1"/>
    <w:rsid w:val="0020269E"/>
    <w:rsid w:val="00243F75"/>
    <w:rsid w:val="002F1816"/>
    <w:rsid w:val="003929AD"/>
    <w:rsid w:val="003D7A4F"/>
    <w:rsid w:val="00430F3E"/>
    <w:rsid w:val="004350D9"/>
    <w:rsid w:val="004E0FBB"/>
    <w:rsid w:val="00676C76"/>
    <w:rsid w:val="006B1675"/>
    <w:rsid w:val="007151FF"/>
    <w:rsid w:val="007F16BE"/>
    <w:rsid w:val="00891686"/>
    <w:rsid w:val="008C1F90"/>
    <w:rsid w:val="008E47B0"/>
    <w:rsid w:val="009010CB"/>
    <w:rsid w:val="00962BDA"/>
    <w:rsid w:val="009A7A8C"/>
    <w:rsid w:val="009D7ECF"/>
    <w:rsid w:val="00B15841"/>
    <w:rsid w:val="00C5335A"/>
    <w:rsid w:val="00D42813"/>
    <w:rsid w:val="00D7340C"/>
    <w:rsid w:val="00DD5E39"/>
    <w:rsid w:val="00E00790"/>
    <w:rsid w:val="00F66EC5"/>
    <w:rsid w:val="00FB7D22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51F2"/>
  <w15:chartTrackingRefBased/>
  <w15:docId w15:val="{B1AEB265-83E6-48EB-A30A-0EB98E0F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F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6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Thuault</dc:creator>
  <cp:keywords/>
  <dc:description/>
  <cp:lastModifiedBy>Fanny Thuault</cp:lastModifiedBy>
  <cp:revision>18</cp:revision>
  <dcterms:created xsi:type="dcterms:W3CDTF">2022-07-18T17:00:00Z</dcterms:created>
  <dcterms:modified xsi:type="dcterms:W3CDTF">2022-07-19T16:06:00Z</dcterms:modified>
</cp:coreProperties>
</file>